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4A54F" w14:textId="77777777" w:rsidR="00384016" w:rsidRDefault="00FD69D8">
      <w:pPr>
        <w:jc w:val="center"/>
        <w:rPr>
          <w:b/>
          <w:sz w:val="24"/>
        </w:rPr>
      </w:pPr>
      <w:r>
        <w:rPr>
          <w:b/>
          <w:sz w:val="24"/>
        </w:rPr>
        <w:t>OFA Board Meeting</w:t>
      </w:r>
    </w:p>
    <w:p w14:paraId="4776B312" w14:textId="4CC46183" w:rsidR="00384016" w:rsidRDefault="00F97919">
      <w:pPr>
        <w:jc w:val="center"/>
        <w:rPr>
          <w:b/>
          <w:sz w:val="24"/>
        </w:rPr>
      </w:pPr>
      <w:r>
        <w:rPr>
          <w:b/>
          <w:sz w:val="24"/>
        </w:rPr>
        <w:t>March</w:t>
      </w:r>
      <w:r w:rsidR="00BD561D">
        <w:rPr>
          <w:b/>
          <w:sz w:val="24"/>
        </w:rPr>
        <w:t xml:space="preserve"> 2</w:t>
      </w:r>
      <w:r>
        <w:rPr>
          <w:b/>
          <w:sz w:val="24"/>
        </w:rPr>
        <w:t>8</w:t>
      </w:r>
      <w:r w:rsidR="003D6625">
        <w:rPr>
          <w:b/>
          <w:sz w:val="24"/>
        </w:rPr>
        <w:t>, 2019</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7A3A8F" w:rsidRDefault="00FD69D8">
      <w:pPr>
        <w:ind w:firstLine="360"/>
        <w:rPr>
          <w:b/>
          <w:sz w:val="24"/>
        </w:rPr>
      </w:pPr>
      <w:r>
        <w:rPr>
          <w:sz w:val="24"/>
        </w:rPr>
        <w:tab/>
      </w:r>
      <w:r w:rsidRPr="007A3A8F">
        <w:rPr>
          <w:b/>
          <w:sz w:val="24"/>
        </w:rPr>
        <w:t>At-Large / Harold Cook</w:t>
      </w:r>
    </w:p>
    <w:p w14:paraId="281601DF" w14:textId="77777777" w:rsidR="00384016" w:rsidRPr="00E31CDC" w:rsidRDefault="00FD69D8">
      <w:pPr>
        <w:ind w:firstLine="720"/>
        <w:rPr>
          <w:b/>
          <w:sz w:val="24"/>
        </w:rPr>
      </w:pPr>
      <w:r w:rsidRPr="00E31CDC">
        <w:rPr>
          <w:b/>
          <w:sz w:val="24"/>
        </w:rPr>
        <w:t>Broadcom / Eddie Wai</w:t>
      </w:r>
    </w:p>
    <w:p w14:paraId="6F5292DD" w14:textId="77777777" w:rsidR="00384016" w:rsidRPr="00E31CDC" w:rsidRDefault="00FD69D8">
      <w:pPr>
        <w:ind w:firstLine="720"/>
        <w:rPr>
          <w:b/>
          <w:sz w:val="24"/>
        </w:rPr>
      </w:pPr>
      <w:r w:rsidRPr="00E31CDC">
        <w:rPr>
          <w:b/>
          <w:sz w:val="24"/>
        </w:rPr>
        <w:t xml:space="preserve">Cray/Paul Grun </w:t>
      </w:r>
    </w:p>
    <w:p w14:paraId="4DD913BB" w14:textId="77777777" w:rsidR="00384016" w:rsidRPr="007A3A8F" w:rsidRDefault="00FD69D8">
      <w:pPr>
        <w:ind w:firstLine="720"/>
        <w:rPr>
          <w:b/>
          <w:sz w:val="24"/>
        </w:rPr>
      </w:pPr>
      <w:r w:rsidRPr="007A3A8F">
        <w:rPr>
          <w:b/>
          <w:sz w:val="24"/>
        </w:rPr>
        <w:t>HPE / John Byrne</w:t>
      </w:r>
    </w:p>
    <w:p w14:paraId="1BD6D90F" w14:textId="77777777" w:rsidR="00384016" w:rsidRPr="003231E8" w:rsidRDefault="00FD69D8">
      <w:pPr>
        <w:ind w:firstLine="720"/>
        <w:rPr>
          <w:sz w:val="24"/>
        </w:rPr>
      </w:pPr>
      <w:r w:rsidRPr="003231E8">
        <w:rPr>
          <w:sz w:val="24"/>
        </w:rPr>
        <w:t>Huawei / Daqi Ren</w:t>
      </w:r>
    </w:p>
    <w:p w14:paraId="1C51CC0C" w14:textId="77777777" w:rsidR="00384016" w:rsidRPr="00E31CDC" w:rsidRDefault="00FD69D8">
      <w:pPr>
        <w:ind w:firstLine="720"/>
        <w:rPr>
          <w:b/>
          <w:sz w:val="24"/>
        </w:rPr>
      </w:pPr>
      <w:r w:rsidRPr="00E31CDC">
        <w:rPr>
          <w:b/>
          <w:sz w:val="24"/>
        </w:rPr>
        <w:t>IBM / Bernard Metzler</w:t>
      </w:r>
    </w:p>
    <w:p w14:paraId="090DB9A9" w14:textId="77777777" w:rsidR="00384016" w:rsidRPr="003231E8" w:rsidRDefault="00FD69D8">
      <w:pPr>
        <w:ind w:firstLine="720"/>
        <w:rPr>
          <w:sz w:val="24"/>
        </w:rPr>
      </w:pPr>
      <w:r w:rsidRPr="003231E8">
        <w:rPr>
          <w:sz w:val="24"/>
        </w:rPr>
        <w:t>Intel / Divya Kolar</w:t>
      </w:r>
    </w:p>
    <w:p w14:paraId="6E983EF1" w14:textId="77777777" w:rsidR="00384016" w:rsidRPr="007A3A8F" w:rsidRDefault="00FD69D8">
      <w:pPr>
        <w:ind w:firstLine="720"/>
        <w:rPr>
          <w:b/>
          <w:sz w:val="24"/>
        </w:rPr>
      </w:pPr>
      <w:r w:rsidRPr="007A3A8F">
        <w:rPr>
          <w:b/>
          <w:sz w:val="24"/>
        </w:rPr>
        <w:t xml:space="preserve">Jump Trading / Christoph Lameter </w:t>
      </w:r>
    </w:p>
    <w:p w14:paraId="61B38661" w14:textId="77777777" w:rsidR="00384016" w:rsidRPr="00D84A03" w:rsidRDefault="00FD69D8">
      <w:pPr>
        <w:ind w:firstLine="720"/>
        <w:rPr>
          <w:strike/>
          <w:sz w:val="24"/>
        </w:rPr>
      </w:pPr>
      <w:r w:rsidRPr="00D84A03">
        <w:rPr>
          <w:strike/>
          <w:sz w:val="24"/>
        </w:rPr>
        <w:t xml:space="preserve">LANL / Parks Fields </w:t>
      </w:r>
    </w:p>
    <w:p w14:paraId="3F37278E" w14:textId="77777777" w:rsidR="00384016" w:rsidRPr="003231E8" w:rsidRDefault="00FD69D8">
      <w:pPr>
        <w:ind w:firstLine="720"/>
        <w:rPr>
          <w:sz w:val="24"/>
        </w:rPr>
      </w:pPr>
      <w:r w:rsidRPr="003231E8">
        <w:rPr>
          <w:sz w:val="24"/>
        </w:rPr>
        <w:t xml:space="preserve">LLNL / Matt Leininger </w:t>
      </w:r>
    </w:p>
    <w:p w14:paraId="41F55724" w14:textId="77777777" w:rsidR="00384016" w:rsidRPr="003231E8" w:rsidRDefault="00FD69D8">
      <w:pPr>
        <w:ind w:firstLine="720"/>
        <w:rPr>
          <w:sz w:val="24"/>
        </w:rPr>
      </w:pPr>
      <w:r w:rsidRPr="003231E8">
        <w:rPr>
          <w:sz w:val="24"/>
        </w:rPr>
        <w:t>Mellanox / Gilad Shainer</w:t>
      </w:r>
    </w:p>
    <w:p w14:paraId="7C1CD0C6" w14:textId="77777777" w:rsidR="00384016" w:rsidRPr="00E31CDC" w:rsidRDefault="00FD69D8">
      <w:pPr>
        <w:ind w:firstLine="720"/>
        <w:rPr>
          <w:b/>
          <w:sz w:val="24"/>
        </w:rPr>
      </w:pPr>
      <w:r w:rsidRPr="00E31CDC">
        <w:rPr>
          <w:b/>
          <w:sz w:val="24"/>
        </w:rPr>
        <w:t xml:space="preserve">NetApp / David Dale </w:t>
      </w:r>
    </w:p>
    <w:p w14:paraId="78822DD1" w14:textId="2FF3EA75" w:rsidR="00384016" w:rsidRPr="0041379E" w:rsidRDefault="00FD69D8" w:rsidP="0041379E">
      <w:pPr>
        <w:ind w:firstLine="720"/>
        <w:rPr>
          <w:sz w:val="24"/>
          <w:szCs w:val="24"/>
        </w:rPr>
      </w:pPr>
      <w:r w:rsidRPr="003231E8">
        <w:rPr>
          <w:sz w:val="24"/>
        </w:rPr>
        <w:t>Oak Ridge /</w:t>
      </w:r>
      <w:r w:rsidR="00A4168B">
        <w:rPr>
          <w:sz w:val="24"/>
        </w:rPr>
        <w:t xml:space="preserve"> </w:t>
      </w:r>
      <w:r w:rsidR="00A4168B" w:rsidRPr="00A4168B">
        <w:rPr>
          <w:rFonts w:ascii="Calibri" w:hAnsi="Calibri"/>
          <w:color w:val="000000"/>
          <w:sz w:val="22"/>
          <w:szCs w:val="22"/>
        </w:rPr>
        <w:t>Sarp Oral </w:t>
      </w:r>
      <w:r w:rsidRPr="003231E8">
        <w:rPr>
          <w:sz w:val="24"/>
        </w:rPr>
        <w:t xml:space="preserve"> </w:t>
      </w:r>
      <w:r w:rsidR="0041379E">
        <w:rPr>
          <w:sz w:val="24"/>
        </w:rPr>
        <w:t xml:space="preserve">for </w:t>
      </w:r>
      <w:r w:rsidRPr="003231E8">
        <w:rPr>
          <w:sz w:val="24"/>
        </w:rPr>
        <w:t xml:space="preserve">Scott Atchley </w:t>
      </w:r>
    </w:p>
    <w:p w14:paraId="3524AEBA" w14:textId="77777777" w:rsidR="00384016" w:rsidRPr="003231E8" w:rsidRDefault="00FD69D8">
      <w:pPr>
        <w:ind w:firstLine="720"/>
        <w:rPr>
          <w:sz w:val="24"/>
        </w:rPr>
      </w:pPr>
      <w:r w:rsidRPr="003231E8">
        <w:rPr>
          <w:sz w:val="24"/>
        </w:rPr>
        <w:t>Red Hat / Doug Ledford</w:t>
      </w:r>
    </w:p>
    <w:p w14:paraId="5B4FDC87" w14:textId="77777777" w:rsidR="00384016" w:rsidRPr="007A3A8F" w:rsidRDefault="00FD69D8">
      <w:pPr>
        <w:ind w:firstLine="720"/>
        <w:rPr>
          <w:b/>
          <w:sz w:val="24"/>
        </w:rPr>
      </w:pPr>
      <w:r w:rsidRPr="007A3A8F">
        <w:rPr>
          <w:b/>
          <w:sz w:val="24"/>
        </w:rPr>
        <w:t>Sandia / Mike Aguilar</w:t>
      </w:r>
    </w:p>
    <w:p w14:paraId="21CC0169" w14:textId="77777777" w:rsidR="00586B24" w:rsidRPr="003231E8" w:rsidRDefault="00586B24" w:rsidP="00714A9B">
      <w:pPr>
        <w:rPr>
          <w:sz w:val="24"/>
        </w:rPr>
      </w:pPr>
      <w:r w:rsidRPr="003231E8">
        <w:rPr>
          <w:sz w:val="24"/>
        </w:rPr>
        <w:t>Others:</w:t>
      </w:r>
    </w:p>
    <w:p w14:paraId="2A5ECEDF" w14:textId="77777777" w:rsidR="00586B24" w:rsidRPr="007A3A8F" w:rsidRDefault="00586B24">
      <w:pPr>
        <w:ind w:firstLine="720"/>
        <w:rPr>
          <w:b/>
          <w:sz w:val="24"/>
        </w:rPr>
      </w:pPr>
      <w:r w:rsidRPr="007A3A8F">
        <w:rPr>
          <w:b/>
          <w:sz w:val="24"/>
        </w:rPr>
        <w:t>Jim Ryan</w:t>
      </w:r>
    </w:p>
    <w:p w14:paraId="74E27394" w14:textId="77777777" w:rsidR="00D84A03" w:rsidRDefault="00D84A03" w:rsidP="00D84A03">
      <w:pPr>
        <w:pStyle w:val="BodyText"/>
        <w:ind w:left="360"/>
      </w:pPr>
    </w:p>
    <w:p w14:paraId="1232FD8F" w14:textId="3C7BCFDF" w:rsidR="008F4A30" w:rsidRDefault="008F4A30">
      <w:pPr>
        <w:pStyle w:val="BodyText"/>
        <w:numPr>
          <w:ilvl w:val="0"/>
          <w:numId w:val="2"/>
        </w:numPr>
      </w:pPr>
      <w:r>
        <w:t>Opens, Agenda Bashing</w:t>
      </w:r>
    </w:p>
    <w:p w14:paraId="57489000" w14:textId="77777777" w:rsidR="002067E0" w:rsidRDefault="002067E0" w:rsidP="002067E0">
      <w:pPr>
        <w:pStyle w:val="BodyText"/>
      </w:pPr>
    </w:p>
    <w:p w14:paraId="15C92BF1" w14:textId="357D983C" w:rsidR="002067E0" w:rsidRDefault="008A4100" w:rsidP="008A4100">
      <w:pPr>
        <w:pStyle w:val="BodyText"/>
        <w:numPr>
          <w:ilvl w:val="0"/>
          <w:numId w:val="7"/>
        </w:numPr>
      </w:pPr>
      <w:r w:rsidRPr="008A4100">
        <w:t>It was announced that Harold Cook has been re-elected as an At-Large Director, along with our thanks for his service this past year.</w:t>
      </w:r>
    </w:p>
    <w:p w14:paraId="61A76B28" w14:textId="77777777" w:rsidR="002067E0" w:rsidRDefault="002067E0" w:rsidP="002067E0">
      <w:pPr>
        <w:pStyle w:val="BodyText"/>
      </w:pPr>
    </w:p>
    <w:p w14:paraId="4936016F" w14:textId="30C81684" w:rsidR="00384016" w:rsidRPr="00494064" w:rsidRDefault="00FD69D8">
      <w:pPr>
        <w:pStyle w:val="BodyText"/>
        <w:numPr>
          <w:ilvl w:val="0"/>
          <w:numId w:val="2"/>
        </w:numPr>
      </w:pPr>
      <w:r>
        <w:t xml:space="preserve">Approve Board minutes from </w:t>
      </w:r>
      <w:r w:rsidR="00BD561D">
        <w:rPr>
          <w:b/>
        </w:rPr>
        <w:t>0</w:t>
      </w:r>
      <w:r w:rsidR="002D4CE6">
        <w:rPr>
          <w:b/>
        </w:rPr>
        <w:t>2</w:t>
      </w:r>
      <w:r w:rsidR="003231E8">
        <w:rPr>
          <w:b/>
        </w:rPr>
        <w:t>/</w:t>
      </w:r>
      <w:r w:rsidR="002D4CE6">
        <w:rPr>
          <w:b/>
        </w:rPr>
        <w:t>21</w:t>
      </w:r>
      <w:r w:rsidR="008F4A30">
        <w:rPr>
          <w:b/>
        </w:rPr>
        <w:t>/1</w:t>
      </w:r>
      <w:r w:rsidR="00BD561D">
        <w:rPr>
          <w:b/>
        </w:rPr>
        <w:t>9</w:t>
      </w:r>
    </w:p>
    <w:p w14:paraId="3F06B989" w14:textId="77777777" w:rsidR="00494064" w:rsidRDefault="00494064" w:rsidP="00494064">
      <w:pPr>
        <w:pStyle w:val="BodyText"/>
        <w:rPr>
          <w:b/>
        </w:rPr>
      </w:pPr>
    </w:p>
    <w:p w14:paraId="2B17E659" w14:textId="608BF3DA" w:rsidR="00494064" w:rsidRDefault="00494064" w:rsidP="00227387">
      <w:pPr>
        <w:pStyle w:val="BodyText"/>
        <w:numPr>
          <w:ilvl w:val="0"/>
          <w:numId w:val="7"/>
        </w:numPr>
      </w:pPr>
      <w:r w:rsidRPr="00F06005">
        <w:t>A motion</w:t>
      </w:r>
      <w:r w:rsidR="00560CBB">
        <w:t xml:space="preserve"> to approved the minutes from 2</w:t>
      </w:r>
      <w:r>
        <w:t>1</w:t>
      </w:r>
      <w:r w:rsidR="00560CBB">
        <w:t xml:space="preserve"> Febru</w:t>
      </w:r>
      <w:r>
        <w:t>ary was made by: Michael Aguilar (Sandia</w:t>
      </w:r>
      <w:r w:rsidRPr="00F06005">
        <w:t>). The motion was seconded </w:t>
      </w:r>
      <w:r>
        <w:t>by John Byrne (HPE).</w:t>
      </w:r>
    </w:p>
    <w:p w14:paraId="616D5409" w14:textId="77777777" w:rsidR="00494064" w:rsidRPr="00D84A03" w:rsidRDefault="00494064" w:rsidP="00494064">
      <w:pPr>
        <w:pStyle w:val="BodyText"/>
      </w:pPr>
    </w:p>
    <w:p w14:paraId="2AC02F3F" w14:textId="2583376D" w:rsidR="003D6625" w:rsidRDefault="002D4CE6">
      <w:pPr>
        <w:pStyle w:val="BodyText"/>
        <w:numPr>
          <w:ilvl w:val="0"/>
          <w:numId w:val="2"/>
        </w:numPr>
      </w:pPr>
      <w:r>
        <w:t>Vote for preliminary approval for Articles 6, 7, 8</w:t>
      </w:r>
    </w:p>
    <w:p w14:paraId="1F5215B8" w14:textId="77777777" w:rsidR="00494064" w:rsidRDefault="00494064" w:rsidP="00494064">
      <w:pPr>
        <w:pStyle w:val="BodyText"/>
      </w:pPr>
    </w:p>
    <w:p w14:paraId="18037641" w14:textId="77777777" w:rsidR="00E72323" w:rsidRPr="00E72323" w:rsidRDefault="00E72323" w:rsidP="00B21D28">
      <w:pPr>
        <w:ind w:left="360"/>
        <w:rPr>
          <w:rFonts w:ascii="Calibri" w:hAnsi="Calibri"/>
          <w:color w:val="000000"/>
          <w:sz w:val="24"/>
          <w:szCs w:val="24"/>
        </w:rPr>
      </w:pPr>
      <w:r w:rsidRPr="00E72323">
        <w:rPr>
          <w:rFonts w:ascii="Calibri" w:hAnsi="Calibri"/>
          <w:color w:val="000000"/>
          <w:sz w:val="24"/>
          <w:szCs w:val="24"/>
        </w:rPr>
        <w:t>Item 1: Cray moves that the Board accept the attached provisional text (file name Article_6_Financial_Administration_and_Recordkeeping_JR_2019_3_7) for Article 6: Financial Administration and Recordkeeping with the following caveats:</w:t>
      </w:r>
    </w:p>
    <w:p w14:paraId="57DC6352" w14:textId="77777777" w:rsidR="00E72323" w:rsidRPr="00E72323" w:rsidRDefault="00E72323" w:rsidP="00B21D28">
      <w:pPr>
        <w:numPr>
          <w:ilvl w:val="0"/>
          <w:numId w:val="3"/>
        </w:numPr>
        <w:tabs>
          <w:tab w:val="clear" w:pos="720"/>
          <w:tab w:val="num" w:pos="1080"/>
        </w:tabs>
        <w:ind w:left="1080"/>
        <w:rPr>
          <w:rFonts w:ascii="Calibri" w:hAnsi="Calibri"/>
          <w:color w:val="000000"/>
          <w:sz w:val="24"/>
          <w:szCs w:val="24"/>
        </w:rPr>
      </w:pPr>
      <w:r w:rsidRPr="00E72323">
        <w:rPr>
          <w:rFonts w:ascii="Calibri" w:hAnsi="Calibri"/>
          <w:color w:val="000000"/>
          <w:sz w:val="24"/>
          <w:szCs w:val="24"/>
        </w:rPr>
        <w:t>This text is presented to the Board consistent with the process described on 1/17/19 and updated on 1/31/19.</w:t>
      </w:r>
    </w:p>
    <w:p w14:paraId="3CDB141C" w14:textId="77777777" w:rsidR="00E72323" w:rsidRPr="00E72323" w:rsidRDefault="00E72323" w:rsidP="00B21D28">
      <w:pPr>
        <w:numPr>
          <w:ilvl w:val="0"/>
          <w:numId w:val="3"/>
        </w:numPr>
        <w:tabs>
          <w:tab w:val="clear" w:pos="720"/>
          <w:tab w:val="num" w:pos="1080"/>
        </w:tabs>
        <w:ind w:left="1080"/>
        <w:rPr>
          <w:rFonts w:ascii="Calibri" w:hAnsi="Calibri"/>
          <w:color w:val="000000"/>
          <w:sz w:val="24"/>
          <w:szCs w:val="24"/>
        </w:rPr>
      </w:pPr>
      <w:r w:rsidRPr="00E72323">
        <w:rPr>
          <w:rFonts w:ascii="Calibri" w:hAnsi="Calibri"/>
          <w:color w:val="000000"/>
          <w:sz w:val="24"/>
          <w:szCs w:val="24"/>
        </w:rPr>
        <w:t>This text is considered provisional until a vote has been taken, following final legal and Promoter review, to accept the final draft of the Bylaws.</w:t>
      </w:r>
    </w:p>
    <w:p w14:paraId="3B9F4F69" w14:textId="77777777" w:rsidR="00E72323" w:rsidRPr="00B200CD" w:rsidRDefault="00E72323" w:rsidP="00B21D28">
      <w:pPr>
        <w:numPr>
          <w:ilvl w:val="0"/>
          <w:numId w:val="3"/>
        </w:numPr>
        <w:tabs>
          <w:tab w:val="clear" w:pos="720"/>
          <w:tab w:val="num" w:pos="1080"/>
        </w:tabs>
        <w:ind w:left="1080"/>
        <w:rPr>
          <w:rFonts w:ascii="Calibri" w:hAnsi="Calibri"/>
          <w:color w:val="000000"/>
          <w:sz w:val="24"/>
          <w:szCs w:val="24"/>
        </w:rPr>
      </w:pPr>
      <w:r w:rsidRPr="00E72323">
        <w:rPr>
          <w:rFonts w:ascii="Calibri" w:hAnsi="Calibri"/>
          <w:color w:val="000000"/>
          <w:sz w:val="24"/>
          <w:szCs w:val="24"/>
        </w:rPr>
        <w:t>Specifically, it is understood that some iteration of this Article may be required as additional Articles are presented for review or as a result of Promoter or legal review.</w:t>
      </w:r>
    </w:p>
    <w:p w14:paraId="2E09B56B" w14:textId="77777777" w:rsidR="00E72323" w:rsidRPr="00B200CD" w:rsidRDefault="00E72323" w:rsidP="00E72323">
      <w:pPr>
        <w:rPr>
          <w:rFonts w:ascii="Calibri" w:hAnsi="Calibri"/>
          <w:color w:val="000000"/>
          <w:sz w:val="24"/>
          <w:szCs w:val="24"/>
        </w:rPr>
      </w:pPr>
    </w:p>
    <w:p w14:paraId="75734FA1" w14:textId="5E09FB7C" w:rsidR="00E72323" w:rsidRPr="00B200CD" w:rsidRDefault="00E72323" w:rsidP="00227387">
      <w:pPr>
        <w:pStyle w:val="BodyText"/>
        <w:numPr>
          <w:ilvl w:val="0"/>
          <w:numId w:val="7"/>
        </w:numPr>
        <w:rPr>
          <w:szCs w:val="24"/>
        </w:rPr>
      </w:pPr>
      <w:r w:rsidRPr="00B200CD">
        <w:rPr>
          <w:szCs w:val="24"/>
        </w:rPr>
        <w:t>A motion for prelimina</w:t>
      </w:r>
      <w:r w:rsidR="00B200CD">
        <w:rPr>
          <w:szCs w:val="24"/>
        </w:rPr>
        <w:t>ry approval for Articles 6</w:t>
      </w:r>
      <w:r w:rsidRPr="00B200CD">
        <w:rPr>
          <w:szCs w:val="24"/>
        </w:rPr>
        <w:t xml:space="preserve"> was made by: Paul Grun (Cray). The motion was seconded by Christoph Lameter (Jump Trading).</w:t>
      </w:r>
    </w:p>
    <w:p w14:paraId="45818657" w14:textId="77777777" w:rsidR="00E72323" w:rsidRPr="00E72323" w:rsidRDefault="00E72323" w:rsidP="00E72323">
      <w:pPr>
        <w:rPr>
          <w:rFonts w:ascii="Calibri" w:hAnsi="Calibri"/>
          <w:color w:val="000000"/>
          <w:sz w:val="24"/>
          <w:szCs w:val="24"/>
        </w:rPr>
      </w:pPr>
    </w:p>
    <w:p w14:paraId="69B655CB" w14:textId="3F488B46" w:rsidR="00E72323" w:rsidRPr="00227387" w:rsidRDefault="00B200CD" w:rsidP="00227387">
      <w:pPr>
        <w:pStyle w:val="ListParagraph"/>
        <w:numPr>
          <w:ilvl w:val="0"/>
          <w:numId w:val="7"/>
        </w:numPr>
        <w:rPr>
          <w:rFonts w:ascii="Calibri" w:hAnsi="Calibri"/>
          <w:b/>
          <w:color w:val="000000"/>
          <w:sz w:val="24"/>
          <w:szCs w:val="24"/>
        </w:rPr>
      </w:pPr>
      <w:r w:rsidRPr="00227387">
        <w:rPr>
          <w:b/>
          <w:sz w:val="24"/>
          <w:szCs w:val="24"/>
        </w:rPr>
        <w:t>The motion was approved by unanimous acclimation.</w:t>
      </w:r>
      <w:r w:rsidR="00E72323" w:rsidRPr="00227387">
        <w:rPr>
          <w:rFonts w:ascii="Calibri" w:hAnsi="Calibri"/>
          <w:b/>
          <w:color w:val="000000"/>
          <w:sz w:val="24"/>
          <w:szCs w:val="24"/>
        </w:rPr>
        <w:t> </w:t>
      </w:r>
    </w:p>
    <w:p w14:paraId="10F91934" w14:textId="77777777" w:rsidR="00B200CD" w:rsidRPr="00E72323" w:rsidRDefault="00B200CD" w:rsidP="00E72323">
      <w:pPr>
        <w:rPr>
          <w:rFonts w:ascii="Calibri" w:hAnsi="Calibri"/>
          <w:color w:val="000000"/>
          <w:sz w:val="22"/>
          <w:szCs w:val="22"/>
        </w:rPr>
      </w:pPr>
    </w:p>
    <w:p w14:paraId="1306471B" w14:textId="77777777" w:rsidR="00E72323" w:rsidRPr="00E72323" w:rsidRDefault="00E72323" w:rsidP="00B21D28">
      <w:pPr>
        <w:ind w:left="360"/>
        <w:rPr>
          <w:rFonts w:ascii="Calibri" w:hAnsi="Calibri"/>
          <w:color w:val="000000"/>
          <w:sz w:val="24"/>
          <w:szCs w:val="24"/>
        </w:rPr>
      </w:pPr>
      <w:r w:rsidRPr="00E72323">
        <w:rPr>
          <w:rFonts w:ascii="Calibri" w:hAnsi="Calibri"/>
          <w:color w:val="000000"/>
          <w:sz w:val="24"/>
          <w:szCs w:val="24"/>
        </w:rPr>
        <w:t>Item 2: Cray moves that the Board accept the attached provisional text (file name Article_7_Indemnification_and_Insurance__JR_2019_3_13) for Article 7: Indemnification and Insurance with the following caveats:</w:t>
      </w:r>
    </w:p>
    <w:p w14:paraId="72E2A209" w14:textId="77777777" w:rsidR="00E72323" w:rsidRPr="00E72323" w:rsidRDefault="00E72323" w:rsidP="00B21D28">
      <w:pPr>
        <w:numPr>
          <w:ilvl w:val="0"/>
          <w:numId w:val="4"/>
        </w:numPr>
        <w:tabs>
          <w:tab w:val="clear" w:pos="720"/>
          <w:tab w:val="num" w:pos="1080"/>
        </w:tabs>
        <w:ind w:left="1080"/>
        <w:rPr>
          <w:rFonts w:ascii="Calibri" w:hAnsi="Calibri"/>
          <w:color w:val="000000"/>
          <w:sz w:val="24"/>
          <w:szCs w:val="24"/>
        </w:rPr>
      </w:pPr>
      <w:r w:rsidRPr="00E72323">
        <w:rPr>
          <w:rFonts w:ascii="Calibri" w:hAnsi="Calibri"/>
          <w:color w:val="000000"/>
          <w:sz w:val="24"/>
          <w:szCs w:val="24"/>
        </w:rPr>
        <w:t>This text is presented to the Board consistent with the process described on 1/17/19 and updated on 1/31/19.</w:t>
      </w:r>
    </w:p>
    <w:p w14:paraId="7B6F1B31" w14:textId="77777777" w:rsidR="00E72323" w:rsidRPr="00E72323" w:rsidRDefault="00E72323" w:rsidP="00B21D28">
      <w:pPr>
        <w:numPr>
          <w:ilvl w:val="0"/>
          <w:numId w:val="4"/>
        </w:numPr>
        <w:tabs>
          <w:tab w:val="clear" w:pos="720"/>
          <w:tab w:val="num" w:pos="1080"/>
        </w:tabs>
        <w:ind w:left="1080"/>
        <w:rPr>
          <w:rFonts w:ascii="Calibri" w:hAnsi="Calibri"/>
          <w:color w:val="000000"/>
          <w:sz w:val="24"/>
          <w:szCs w:val="24"/>
        </w:rPr>
      </w:pPr>
      <w:r w:rsidRPr="00E72323">
        <w:rPr>
          <w:rFonts w:ascii="Calibri" w:hAnsi="Calibri"/>
          <w:color w:val="000000"/>
          <w:sz w:val="24"/>
          <w:szCs w:val="24"/>
        </w:rPr>
        <w:t>This text is considered provisional until a vote has been taken, following final legal and Promoter review, to accept the final draft of the Bylaws.</w:t>
      </w:r>
    </w:p>
    <w:p w14:paraId="7073249A" w14:textId="77777777" w:rsidR="00E72323" w:rsidRPr="00E72323" w:rsidRDefault="00E72323" w:rsidP="00B21D28">
      <w:pPr>
        <w:numPr>
          <w:ilvl w:val="0"/>
          <w:numId w:val="4"/>
        </w:numPr>
        <w:tabs>
          <w:tab w:val="clear" w:pos="720"/>
          <w:tab w:val="num" w:pos="1080"/>
        </w:tabs>
        <w:ind w:left="1080"/>
        <w:rPr>
          <w:rFonts w:ascii="Calibri" w:hAnsi="Calibri"/>
          <w:color w:val="000000"/>
          <w:sz w:val="24"/>
          <w:szCs w:val="24"/>
        </w:rPr>
      </w:pPr>
      <w:r w:rsidRPr="00E72323">
        <w:rPr>
          <w:rFonts w:ascii="Calibri" w:hAnsi="Calibri"/>
          <w:color w:val="000000"/>
          <w:sz w:val="24"/>
          <w:szCs w:val="24"/>
        </w:rPr>
        <w:t>Specifically, it is understood that some iteration of this Article may be required as additional Articles are presented for review or as a result of Promoter or legal review.</w:t>
      </w:r>
    </w:p>
    <w:p w14:paraId="0C502741" w14:textId="77777777" w:rsidR="00E72323" w:rsidRPr="00B200CD" w:rsidRDefault="00E72323" w:rsidP="00B21D28">
      <w:pPr>
        <w:ind w:left="360"/>
        <w:rPr>
          <w:rFonts w:ascii="Calibri" w:hAnsi="Calibri"/>
          <w:color w:val="000000"/>
          <w:sz w:val="24"/>
          <w:szCs w:val="24"/>
        </w:rPr>
      </w:pPr>
      <w:r w:rsidRPr="00E72323">
        <w:rPr>
          <w:rFonts w:ascii="Calibri" w:hAnsi="Calibri"/>
          <w:color w:val="000000"/>
          <w:sz w:val="24"/>
          <w:szCs w:val="24"/>
        </w:rPr>
        <w:t> </w:t>
      </w:r>
    </w:p>
    <w:p w14:paraId="63C2CEAB" w14:textId="429F7A4C" w:rsidR="00E72323" w:rsidRPr="00B200CD" w:rsidRDefault="00E72323" w:rsidP="00227387">
      <w:pPr>
        <w:pStyle w:val="BodyText"/>
        <w:numPr>
          <w:ilvl w:val="0"/>
          <w:numId w:val="8"/>
        </w:numPr>
        <w:rPr>
          <w:szCs w:val="24"/>
        </w:rPr>
      </w:pPr>
      <w:r w:rsidRPr="00B200CD">
        <w:rPr>
          <w:szCs w:val="24"/>
        </w:rPr>
        <w:t>A motion for preliminary approval for Articles 7 was made by: Paul Grun (Cray). The motion was seconded by John Byrne (HPE).</w:t>
      </w:r>
    </w:p>
    <w:p w14:paraId="437F67A3" w14:textId="77777777" w:rsidR="00E72323" w:rsidRPr="00B200CD" w:rsidRDefault="00E72323" w:rsidP="00E72323">
      <w:pPr>
        <w:rPr>
          <w:rFonts w:ascii="Calibri" w:hAnsi="Calibri"/>
          <w:color w:val="000000"/>
          <w:sz w:val="24"/>
          <w:szCs w:val="24"/>
        </w:rPr>
      </w:pPr>
    </w:p>
    <w:p w14:paraId="4918E7EF" w14:textId="6557CFEF" w:rsidR="00B200CD" w:rsidRPr="00227387" w:rsidRDefault="00B200CD" w:rsidP="00227387">
      <w:pPr>
        <w:pStyle w:val="ListParagraph"/>
        <w:numPr>
          <w:ilvl w:val="0"/>
          <w:numId w:val="8"/>
        </w:numPr>
        <w:rPr>
          <w:rFonts w:ascii="Calibri" w:hAnsi="Calibri"/>
          <w:b/>
          <w:color w:val="000000"/>
          <w:sz w:val="24"/>
          <w:szCs w:val="24"/>
        </w:rPr>
      </w:pPr>
      <w:r w:rsidRPr="00227387">
        <w:rPr>
          <w:rFonts w:ascii="Calibri" w:hAnsi="Calibri"/>
          <w:b/>
          <w:color w:val="000000"/>
          <w:sz w:val="24"/>
          <w:szCs w:val="24"/>
        </w:rPr>
        <w:t>The motion was approved by unanimous acclimation.</w:t>
      </w:r>
    </w:p>
    <w:p w14:paraId="5B869AAF" w14:textId="77777777" w:rsidR="00B200CD" w:rsidRPr="00E72323" w:rsidRDefault="00B200CD" w:rsidP="00B21D28">
      <w:pPr>
        <w:ind w:left="360"/>
        <w:rPr>
          <w:rFonts w:ascii="Calibri" w:hAnsi="Calibri"/>
          <w:color w:val="000000"/>
          <w:sz w:val="22"/>
          <w:szCs w:val="22"/>
        </w:rPr>
      </w:pPr>
    </w:p>
    <w:p w14:paraId="79FE8D1A" w14:textId="77777777" w:rsidR="00E72323" w:rsidRPr="00E72323" w:rsidRDefault="00E72323" w:rsidP="00B21D28">
      <w:pPr>
        <w:ind w:left="360"/>
        <w:rPr>
          <w:rFonts w:ascii="Times" w:hAnsi="Times"/>
          <w:color w:val="000000"/>
          <w:sz w:val="24"/>
          <w:szCs w:val="24"/>
        </w:rPr>
      </w:pPr>
      <w:r w:rsidRPr="00E72323">
        <w:rPr>
          <w:rFonts w:ascii="Times" w:hAnsi="Times"/>
          <w:color w:val="000000"/>
          <w:sz w:val="24"/>
          <w:szCs w:val="24"/>
        </w:rPr>
        <w:t>Item 3: Cray moves that the Board accept the attached provisional text (file name Article_8_Amendments_JR_2019_0307) for Article 8: Amendments with the following caveats:</w:t>
      </w:r>
    </w:p>
    <w:p w14:paraId="357809E5" w14:textId="77777777" w:rsidR="00E72323" w:rsidRPr="00E72323" w:rsidRDefault="00E72323" w:rsidP="00B21D28">
      <w:pPr>
        <w:numPr>
          <w:ilvl w:val="0"/>
          <w:numId w:val="5"/>
        </w:numPr>
        <w:tabs>
          <w:tab w:val="clear" w:pos="720"/>
          <w:tab w:val="num" w:pos="1080"/>
        </w:tabs>
        <w:ind w:left="1080"/>
        <w:rPr>
          <w:rFonts w:ascii="Times" w:hAnsi="Times"/>
          <w:color w:val="000000"/>
          <w:sz w:val="24"/>
          <w:szCs w:val="24"/>
        </w:rPr>
      </w:pPr>
      <w:r w:rsidRPr="00E72323">
        <w:rPr>
          <w:rFonts w:ascii="Times" w:hAnsi="Times"/>
          <w:color w:val="000000"/>
          <w:sz w:val="24"/>
          <w:szCs w:val="24"/>
        </w:rPr>
        <w:t>This text is presented to the Board consistent with the process described on 1/17/19 and updated on 1/31/19.</w:t>
      </w:r>
    </w:p>
    <w:p w14:paraId="59205BF3" w14:textId="77777777" w:rsidR="00E72323" w:rsidRPr="00E72323" w:rsidRDefault="00E72323" w:rsidP="00B21D28">
      <w:pPr>
        <w:numPr>
          <w:ilvl w:val="0"/>
          <w:numId w:val="5"/>
        </w:numPr>
        <w:tabs>
          <w:tab w:val="clear" w:pos="720"/>
          <w:tab w:val="num" w:pos="1080"/>
        </w:tabs>
        <w:ind w:left="1080"/>
        <w:rPr>
          <w:rFonts w:ascii="Times" w:hAnsi="Times"/>
          <w:color w:val="000000"/>
          <w:sz w:val="24"/>
          <w:szCs w:val="24"/>
        </w:rPr>
      </w:pPr>
      <w:r w:rsidRPr="00E72323">
        <w:rPr>
          <w:rFonts w:ascii="Times" w:hAnsi="Times"/>
          <w:color w:val="000000"/>
          <w:sz w:val="24"/>
          <w:szCs w:val="24"/>
        </w:rPr>
        <w:t>This text is considered provisional until a vote has been taken, following final legal and Promoter review, to accept the final draft of the Bylaws.</w:t>
      </w:r>
    </w:p>
    <w:p w14:paraId="4974573D" w14:textId="77777777" w:rsidR="00E72323" w:rsidRPr="00E72323" w:rsidRDefault="00E72323" w:rsidP="00B21D28">
      <w:pPr>
        <w:numPr>
          <w:ilvl w:val="0"/>
          <w:numId w:val="5"/>
        </w:numPr>
        <w:tabs>
          <w:tab w:val="clear" w:pos="720"/>
          <w:tab w:val="num" w:pos="1080"/>
        </w:tabs>
        <w:ind w:left="1080"/>
        <w:rPr>
          <w:rFonts w:ascii="Times" w:hAnsi="Times"/>
          <w:color w:val="000000"/>
          <w:sz w:val="24"/>
          <w:szCs w:val="24"/>
        </w:rPr>
      </w:pPr>
      <w:r w:rsidRPr="00E72323">
        <w:rPr>
          <w:rFonts w:ascii="Times" w:hAnsi="Times"/>
          <w:color w:val="000000"/>
          <w:sz w:val="24"/>
          <w:szCs w:val="24"/>
        </w:rPr>
        <w:t>Specifically, it is understood that some iteration of this Article may be required as additional Articles are presented for review or as a result of Promoter or legal review.</w:t>
      </w:r>
    </w:p>
    <w:p w14:paraId="0F439076" w14:textId="77777777" w:rsidR="00E72323" w:rsidRPr="00E72323" w:rsidRDefault="00E72323" w:rsidP="00E72323">
      <w:pPr>
        <w:rPr>
          <w:rFonts w:ascii="Times" w:hAnsi="Times"/>
          <w:color w:val="000000"/>
          <w:sz w:val="24"/>
          <w:szCs w:val="24"/>
        </w:rPr>
      </w:pPr>
      <w:r w:rsidRPr="00E72323">
        <w:rPr>
          <w:rFonts w:ascii="Times" w:hAnsi="Times"/>
          <w:color w:val="000000"/>
          <w:sz w:val="24"/>
          <w:szCs w:val="24"/>
        </w:rPr>
        <w:t> </w:t>
      </w:r>
    </w:p>
    <w:p w14:paraId="3D7080CE" w14:textId="77777777" w:rsidR="00B200CD" w:rsidRPr="00B200CD" w:rsidRDefault="00B200CD" w:rsidP="00227387">
      <w:pPr>
        <w:pStyle w:val="BodyText"/>
        <w:numPr>
          <w:ilvl w:val="0"/>
          <w:numId w:val="9"/>
        </w:numPr>
        <w:rPr>
          <w:rFonts w:ascii="Times" w:hAnsi="Times"/>
          <w:szCs w:val="24"/>
        </w:rPr>
      </w:pPr>
      <w:r w:rsidRPr="00B200CD">
        <w:rPr>
          <w:rFonts w:ascii="Times" w:hAnsi="Times"/>
          <w:szCs w:val="24"/>
        </w:rPr>
        <w:t>A motion for preliminary approval for Articles 7 was made by: Paul Grun (Cray). The motion was seconded by John Byrne (HPE).</w:t>
      </w:r>
    </w:p>
    <w:p w14:paraId="20D10C95" w14:textId="77777777" w:rsidR="00E72323" w:rsidRPr="00B200CD" w:rsidRDefault="00E72323" w:rsidP="00494064">
      <w:pPr>
        <w:pStyle w:val="BodyText"/>
        <w:rPr>
          <w:rFonts w:ascii="Times" w:hAnsi="Times"/>
          <w:szCs w:val="24"/>
        </w:rPr>
      </w:pPr>
    </w:p>
    <w:p w14:paraId="0EDC69D4" w14:textId="44A464E0" w:rsidR="00E72323" w:rsidRPr="00B21D28" w:rsidRDefault="00B200CD" w:rsidP="00227387">
      <w:pPr>
        <w:pStyle w:val="BodyText"/>
        <w:numPr>
          <w:ilvl w:val="0"/>
          <w:numId w:val="9"/>
        </w:numPr>
        <w:rPr>
          <w:rFonts w:ascii="Times" w:hAnsi="Times"/>
          <w:b/>
          <w:szCs w:val="24"/>
        </w:rPr>
      </w:pPr>
      <w:r w:rsidRPr="00B21D28">
        <w:rPr>
          <w:rFonts w:ascii="Times" w:hAnsi="Times"/>
          <w:b/>
          <w:szCs w:val="24"/>
        </w:rPr>
        <w:t>The motion was approved by unanimous acclimation.</w:t>
      </w:r>
    </w:p>
    <w:p w14:paraId="38D4983F" w14:textId="77777777" w:rsidR="00E72323" w:rsidRDefault="00E72323" w:rsidP="00494064">
      <w:pPr>
        <w:pStyle w:val="BodyText"/>
      </w:pPr>
    </w:p>
    <w:p w14:paraId="35F20E57" w14:textId="387493C3" w:rsidR="002D4CE6" w:rsidRDefault="002D4CE6">
      <w:pPr>
        <w:pStyle w:val="BodyText"/>
        <w:numPr>
          <w:ilvl w:val="0"/>
          <w:numId w:val="2"/>
        </w:numPr>
      </w:pPr>
      <w:r>
        <w:t>Review Article 5</w:t>
      </w:r>
    </w:p>
    <w:p w14:paraId="2E45F7BC" w14:textId="77777777" w:rsidR="008A4100" w:rsidRDefault="008A4100" w:rsidP="008A4100">
      <w:pPr>
        <w:pStyle w:val="BodyText"/>
      </w:pPr>
    </w:p>
    <w:p w14:paraId="4D3DBB24" w14:textId="77777777" w:rsidR="008A4100" w:rsidRDefault="008A4100" w:rsidP="008A4100">
      <w:pPr>
        <w:pStyle w:val="BodyText"/>
      </w:pPr>
    </w:p>
    <w:p w14:paraId="201DB4C0" w14:textId="16782DF0" w:rsidR="008A4100" w:rsidRPr="008A4100" w:rsidRDefault="008A4100" w:rsidP="008A4100">
      <w:pPr>
        <w:pStyle w:val="BodyText"/>
        <w:numPr>
          <w:ilvl w:val="0"/>
          <w:numId w:val="10"/>
        </w:numPr>
      </w:pPr>
      <w:r>
        <w:t>T</w:t>
      </w:r>
      <w:r w:rsidRPr="008A4100">
        <w:t xml:space="preserve">here was discussion on Section 5.3 as to whether or not a Working Group Chair must be a representative of a Promoter Member.  One one hand, the OFA wants to take advantage of the most qualified Chairs it can find, on the other, Promoter Members have a right to expect some control over the operation and direction of </w:t>
      </w:r>
      <w:r w:rsidRPr="008A4100">
        <w:lastRenderedPageBreak/>
        <w:t>our working groups. The tentative compromise that was offered was: At least one of the chair(s) must be a member of a Promoter Member; if there are co-chairs, one must be a Promoter member but the other is not required to be a Promoter Member.</w:t>
      </w:r>
    </w:p>
    <w:p w14:paraId="544137BB" w14:textId="77777777" w:rsidR="008A4100" w:rsidRDefault="008A4100" w:rsidP="008A4100">
      <w:pPr>
        <w:pStyle w:val="BodyText"/>
        <w:ind w:left="720"/>
      </w:pPr>
    </w:p>
    <w:p w14:paraId="2A53FA81" w14:textId="77777777" w:rsidR="002F63E0" w:rsidRDefault="002F63E0" w:rsidP="002F63E0">
      <w:pPr>
        <w:pStyle w:val="BodyText"/>
      </w:pPr>
    </w:p>
    <w:p w14:paraId="3544D933" w14:textId="1012251E" w:rsidR="002F63E0" w:rsidRDefault="002F63E0" w:rsidP="002F63E0">
      <w:pPr>
        <w:pStyle w:val="BodyText"/>
        <w:ind w:firstLine="360"/>
        <w:rPr>
          <w:sz w:val="28"/>
          <w:szCs w:val="28"/>
        </w:rPr>
      </w:pPr>
      <w:r w:rsidRPr="002F63E0">
        <w:rPr>
          <w:sz w:val="28"/>
          <w:szCs w:val="28"/>
        </w:rPr>
        <w:t>Article 5</w:t>
      </w:r>
      <w:r w:rsidRPr="002F63E0">
        <w:rPr>
          <w:sz w:val="28"/>
          <w:szCs w:val="28"/>
        </w:rPr>
        <w:tab/>
      </w:r>
      <w:r>
        <w:rPr>
          <w:sz w:val="28"/>
          <w:szCs w:val="28"/>
        </w:rPr>
        <w:tab/>
      </w:r>
      <w:r w:rsidRPr="002F63E0">
        <w:rPr>
          <w:sz w:val="28"/>
          <w:szCs w:val="28"/>
        </w:rPr>
        <w:t>Working Groups</w:t>
      </w:r>
    </w:p>
    <w:p w14:paraId="1B04BBCA" w14:textId="77777777" w:rsidR="002F63E0" w:rsidRPr="002F63E0" w:rsidRDefault="002F63E0" w:rsidP="002F63E0">
      <w:pPr>
        <w:pStyle w:val="BodyText"/>
        <w:rPr>
          <w:sz w:val="28"/>
          <w:szCs w:val="28"/>
        </w:rPr>
      </w:pPr>
    </w:p>
    <w:p w14:paraId="2D4D4D13" w14:textId="2DA43857" w:rsidR="002F63E0" w:rsidRDefault="002F63E0" w:rsidP="002F63E0">
      <w:pPr>
        <w:pStyle w:val="BodyText"/>
        <w:ind w:firstLine="360"/>
      </w:pPr>
      <w:r w:rsidRPr="002F63E0">
        <w:t>Section 5.1</w:t>
      </w:r>
      <w:r>
        <w:tab/>
      </w:r>
      <w:r w:rsidRPr="002F63E0">
        <w:tab/>
        <w:t>Creation</w:t>
      </w:r>
    </w:p>
    <w:p w14:paraId="1FA50349" w14:textId="0FFB1012" w:rsidR="002F63E0" w:rsidRPr="002F63E0" w:rsidRDefault="002F63E0" w:rsidP="002F63E0">
      <w:pPr>
        <w:pStyle w:val="BodyText"/>
      </w:pPr>
      <w:r>
        <w:tab/>
      </w:r>
    </w:p>
    <w:p w14:paraId="099299B0" w14:textId="77777777" w:rsidR="002F63E0" w:rsidRPr="002F63E0" w:rsidRDefault="002F63E0" w:rsidP="006D00DC">
      <w:pPr>
        <w:pStyle w:val="BodyText"/>
        <w:ind w:left="720"/>
      </w:pPr>
      <w:r w:rsidRPr="002F63E0">
        <w:t>A Working Group is created by majority vote of the Board approving the charter and the initial Chair(s) and/or Interim Chair(s). There are no special notice requirements for the vote.</w:t>
      </w:r>
    </w:p>
    <w:p w14:paraId="2326BCA1" w14:textId="77777777" w:rsidR="002F63E0" w:rsidRDefault="002F63E0" w:rsidP="006D00DC">
      <w:pPr>
        <w:pStyle w:val="BodyText"/>
        <w:ind w:left="720"/>
      </w:pPr>
    </w:p>
    <w:p w14:paraId="581EA8DD" w14:textId="77777777" w:rsidR="002F63E0" w:rsidRDefault="002F63E0" w:rsidP="006D00DC">
      <w:pPr>
        <w:pStyle w:val="BodyText"/>
        <w:ind w:left="720"/>
      </w:pPr>
      <w:r w:rsidRPr="002F63E0">
        <w:t>All Working Groups will be subject to intellectual property policies and applicable Bylaws of the OFA.</w:t>
      </w:r>
    </w:p>
    <w:p w14:paraId="187BC543" w14:textId="77777777" w:rsidR="002F63E0" w:rsidRPr="002F63E0" w:rsidRDefault="002F63E0" w:rsidP="002F63E0">
      <w:pPr>
        <w:pStyle w:val="BodyText"/>
      </w:pPr>
    </w:p>
    <w:p w14:paraId="2B40FB68" w14:textId="3FFBB892" w:rsidR="002F63E0" w:rsidRDefault="002F63E0" w:rsidP="002F63E0">
      <w:pPr>
        <w:pStyle w:val="BodyText"/>
        <w:ind w:firstLine="360"/>
      </w:pPr>
      <w:r w:rsidRPr="002F63E0">
        <w:t>Section 5.2</w:t>
      </w:r>
      <w:r w:rsidRPr="002F63E0">
        <w:tab/>
      </w:r>
      <w:r w:rsidR="00C336BE">
        <w:tab/>
      </w:r>
      <w:r w:rsidRPr="002F63E0">
        <w:t>Dissolution/Review</w:t>
      </w:r>
    </w:p>
    <w:p w14:paraId="5F4B6897" w14:textId="77777777" w:rsidR="002F63E0" w:rsidRPr="002F63E0" w:rsidRDefault="002F63E0" w:rsidP="00214AA6">
      <w:pPr>
        <w:pStyle w:val="BodyText"/>
        <w:ind w:left="360"/>
      </w:pPr>
    </w:p>
    <w:p w14:paraId="76F98571" w14:textId="77777777" w:rsidR="002F63E0" w:rsidRPr="002F63E0" w:rsidRDefault="002F63E0" w:rsidP="006D00DC">
      <w:pPr>
        <w:pStyle w:val="BodyText"/>
        <w:ind w:left="360" w:firstLine="360"/>
      </w:pPr>
      <w:r w:rsidRPr="002F63E0">
        <w:t xml:space="preserve">A Working Group can be dissolved at any time by a majority vote of the Board. </w:t>
      </w:r>
    </w:p>
    <w:p w14:paraId="201F1FF7" w14:textId="77777777" w:rsidR="002F63E0" w:rsidRDefault="002F63E0" w:rsidP="006D00DC">
      <w:pPr>
        <w:pStyle w:val="BodyText"/>
        <w:ind w:left="720"/>
      </w:pPr>
    </w:p>
    <w:p w14:paraId="5D8136E3" w14:textId="77777777" w:rsidR="002F63E0" w:rsidRPr="002F63E0" w:rsidRDefault="002F63E0" w:rsidP="006D00DC">
      <w:pPr>
        <w:pStyle w:val="BodyText"/>
        <w:ind w:left="720"/>
      </w:pPr>
      <w:r w:rsidRPr="002F63E0">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6AF84D1B" w14:textId="49A61D0B" w:rsidR="002F63E0" w:rsidRDefault="00C336BE" w:rsidP="002F63E0">
      <w:pPr>
        <w:pStyle w:val="BodyText"/>
      </w:pPr>
      <w:r>
        <w:tab/>
      </w:r>
    </w:p>
    <w:p w14:paraId="41237F9A" w14:textId="30296B07" w:rsidR="002F63E0" w:rsidRDefault="00C336BE" w:rsidP="002F63E0">
      <w:pPr>
        <w:pStyle w:val="BodyText"/>
      </w:pPr>
      <w:r>
        <w:t xml:space="preserve">      </w:t>
      </w:r>
      <w:r w:rsidR="002F63E0" w:rsidRPr="002F63E0">
        <w:t>Section 5.3</w:t>
      </w:r>
      <w:r>
        <w:tab/>
      </w:r>
      <w:r w:rsidR="002F63E0" w:rsidRPr="002F63E0">
        <w:tab/>
        <w:t>Governance</w:t>
      </w:r>
    </w:p>
    <w:p w14:paraId="52B3065C" w14:textId="77777777" w:rsidR="002F63E0" w:rsidRPr="002F63E0" w:rsidRDefault="002F63E0" w:rsidP="002F63E0">
      <w:pPr>
        <w:pStyle w:val="BodyText"/>
      </w:pPr>
    </w:p>
    <w:p w14:paraId="09E30852" w14:textId="77777777" w:rsidR="002F63E0" w:rsidRPr="002F63E0" w:rsidRDefault="002F63E0" w:rsidP="006D00DC">
      <w:pPr>
        <w:pStyle w:val="BodyText"/>
        <w:ind w:left="720"/>
      </w:pPr>
      <w:r w:rsidRPr="002F63E0">
        <w:t xml:space="preserve">A Working Group must have at least one Chair/Interim-Chair and may have Co-chairs. The Working Group Chair or Co-chairs are responsible to the Board for the accomplishment of the goals specified in the Working Group’s charter. </w:t>
      </w:r>
    </w:p>
    <w:p w14:paraId="651A1866" w14:textId="77777777" w:rsidR="002F63E0" w:rsidRDefault="002F63E0" w:rsidP="006D00DC">
      <w:pPr>
        <w:pStyle w:val="BodyText"/>
        <w:ind w:left="720"/>
      </w:pPr>
    </w:p>
    <w:p w14:paraId="3907D382" w14:textId="77777777" w:rsidR="002F63E0" w:rsidRDefault="002F63E0" w:rsidP="006D00DC">
      <w:pPr>
        <w:pStyle w:val="BodyText"/>
        <w:ind w:left="720"/>
      </w:pPr>
      <w:r w:rsidRPr="002F63E0">
        <w:t>Working Group Co-Chairs/Interim Chair(s) are appointed by a majority vote of the Board; they can be removed at any time by a majority vote of the Board. Chairs may resign at any time.</w:t>
      </w:r>
    </w:p>
    <w:p w14:paraId="65C2EF4E" w14:textId="7C4A0521" w:rsidR="002F63E0" w:rsidRPr="002F63E0" w:rsidRDefault="002F63E0" w:rsidP="006D00DC">
      <w:pPr>
        <w:pStyle w:val="BodyText"/>
        <w:ind w:left="720"/>
      </w:pPr>
      <w:r w:rsidRPr="002F63E0">
        <w:t xml:space="preserve"> </w:t>
      </w:r>
    </w:p>
    <w:p w14:paraId="0263620D" w14:textId="77777777" w:rsidR="002F63E0" w:rsidRPr="002F63E0" w:rsidRDefault="002F63E0" w:rsidP="006D00DC">
      <w:pPr>
        <w:pStyle w:val="BodyText"/>
        <w:ind w:left="720"/>
      </w:pPr>
      <w:r w:rsidRPr="002F63E0">
        <w:t>Chairs must be a representative of an OFA Promoter Member. Any Working Group without a Chair/Interim-Chair for 30 days must be dissolved.</w:t>
      </w:r>
    </w:p>
    <w:p w14:paraId="01F9C85B" w14:textId="77777777" w:rsidR="002F63E0" w:rsidRDefault="002F63E0" w:rsidP="006D00DC">
      <w:pPr>
        <w:pStyle w:val="BodyText"/>
        <w:ind w:left="720"/>
      </w:pPr>
    </w:p>
    <w:p w14:paraId="39B5309D" w14:textId="77777777" w:rsidR="002F63E0" w:rsidRPr="002F63E0" w:rsidRDefault="002F63E0" w:rsidP="006D00DC">
      <w:pPr>
        <w:pStyle w:val="BodyText"/>
        <w:ind w:left="720"/>
      </w:pPr>
      <w:r w:rsidRPr="002F63E0">
        <w:t xml:space="preserve">The Board may appoint an Interim Chairs to a Working Group for a period of no more than 90 days. The Board may re-authorize an Interim Chair. An Interim Chair may lead the Working Group until a permanent Chair/co-Chair(s) are appointed.  </w:t>
      </w:r>
    </w:p>
    <w:p w14:paraId="6687F0AC" w14:textId="77777777" w:rsidR="002F63E0" w:rsidRDefault="002F63E0" w:rsidP="006D00DC">
      <w:pPr>
        <w:pStyle w:val="BodyText"/>
        <w:ind w:left="720"/>
      </w:pPr>
    </w:p>
    <w:p w14:paraId="7716D119" w14:textId="77777777" w:rsidR="002F63E0" w:rsidRPr="002F63E0" w:rsidRDefault="002F63E0" w:rsidP="006D00DC">
      <w:pPr>
        <w:pStyle w:val="BodyText"/>
        <w:ind w:left="720"/>
      </w:pPr>
      <w:r w:rsidRPr="002F63E0">
        <w:lastRenderedPageBreak/>
        <w:t xml:space="preserve">Internal governance of the Working Group is subject to the requirements in the group’s charter. Participation of OFA non-members in Working Groups is allowed if specified in the group’s charter. </w:t>
      </w:r>
    </w:p>
    <w:p w14:paraId="3EB3BA33" w14:textId="77777777" w:rsidR="002F63E0" w:rsidRDefault="002F63E0" w:rsidP="006D00DC">
      <w:pPr>
        <w:pStyle w:val="BodyText"/>
        <w:ind w:left="720"/>
      </w:pPr>
    </w:p>
    <w:p w14:paraId="4160A9A9" w14:textId="77777777" w:rsidR="002F63E0" w:rsidRPr="002F63E0" w:rsidRDefault="002F63E0" w:rsidP="006D00DC">
      <w:pPr>
        <w:pStyle w:val="BodyText"/>
        <w:ind w:left="720"/>
      </w:pPr>
      <w:r w:rsidRPr="002F63E0">
        <w:t>A Working Group shall be required as its first act to produce a governance policy and procedures consistent with direction from the Board and the governance policy must be approved by the Board by majority vote.</w:t>
      </w:r>
      <w:r w:rsidRPr="002F63E0" w:rsidDel="00194682">
        <w:t xml:space="preserve"> </w:t>
      </w:r>
    </w:p>
    <w:p w14:paraId="352700CF" w14:textId="77777777" w:rsidR="002F63E0" w:rsidRDefault="002F63E0" w:rsidP="006D00DC">
      <w:pPr>
        <w:pStyle w:val="BodyText"/>
        <w:ind w:left="720"/>
      </w:pPr>
    </w:p>
    <w:p w14:paraId="3459A2B8" w14:textId="77777777" w:rsidR="002F63E0" w:rsidRPr="002F63E0" w:rsidRDefault="002F63E0" w:rsidP="006D00DC">
      <w:pPr>
        <w:pStyle w:val="BodyText"/>
        <w:ind w:left="720"/>
      </w:pPr>
      <w:r w:rsidRPr="002F63E0">
        <w:t>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4D68D714" w14:textId="77777777" w:rsidR="00494064" w:rsidRDefault="00494064" w:rsidP="00494064">
      <w:pPr>
        <w:pStyle w:val="BodyText"/>
      </w:pPr>
    </w:p>
    <w:p w14:paraId="6B557EFF" w14:textId="38529A75" w:rsidR="002D4CE6" w:rsidRDefault="002D4CE6">
      <w:pPr>
        <w:pStyle w:val="BodyText"/>
        <w:numPr>
          <w:ilvl w:val="0"/>
          <w:numId w:val="2"/>
        </w:numPr>
      </w:pPr>
      <w:r>
        <w:t>Open discussion on the Workshop</w:t>
      </w:r>
    </w:p>
    <w:p w14:paraId="3012BD91" w14:textId="77777777" w:rsidR="00494064" w:rsidRDefault="00494064" w:rsidP="00494064">
      <w:pPr>
        <w:pStyle w:val="BodyText"/>
      </w:pPr>
    </w:p>
    <w:p w14:paraId="1B87187F" w14:textId="2EC8F23D" w:rsidR="008A4100" w:rsidRDefault="008A4100" w:rsidP="008A4100">
      <w:pPr>
        <w:pStyle w:val="BodyText"/>
        <w:numPr>
          <w:ilvl w:val="0"/>
          <w:numId w:val="6"/>
        </w:numPr>
      </w:pPr>
      <w:r w:rsidRPr="008A4100">
        <w:t>Open WS discussion, the possibility was raised of future tutorials built on top of the Tutorial presented by Doug.  Specifically, I mentioned an offer by Hari Subramoni (OSU) to develop a tutorial that builds on top of the four node cluster created during Doug’s tutorial.  We also mentioned the possibility of building a training program based on these tutorials.</w:t>
      </w:r>
    </w:p>
    <w:p w14:paraId="59FF36D8" w14:textId="67FB2972" w:rsidR="00494064" w:rsidRDefault="005851FB" w:rsidP="00227387">
      <w:pPr>
        <w:pStyle w:val="BodyText"/>
        <w:numPr>
          <w:ilvl w:val="0"/>
          <w:numId w:val="6"/>
        </w:numPr>
      </w:pPr>
      <w:r>
        <w:t>Divya may send out a location recommendation survey.</w:t>
      </w:r>
    </w:p>
    <w:p w14:paraId="27A109A1" w14:textId="0D9BF543" w:rsidR="005851FB" w:rsidRDefault="00AA6BFA" w:rsidP="00227387">
      <w:pPr>
        <w:pStyle w:val="BodyText"/>
        <w:numPr>
          <w:ilvl w:val="0"/>
          <w:numId w:val="6"/>
        </w:numPr>
      </w:pPr>
      <w:r>
        <w:t>Tutorial comments were very good.</w:t>
      </w:r>
      <w:r w:rsidR="00E77FA4">
        <w:t xml:space="preserve">  We would like to continue forward with software iWARP to provide virtualized RDMA.</w:t>
      </w:r>
    </w:p>
    <w:p w14:paraId="4C9618B4" w14:textId="77777777" w:rsidR="00227387" w:rsidRDefault="00227387" w:rsidP="00494064">
      <w:pPr>
        <w:pStyle w:val="BodyText"/>
      </w:pPr>
    </w:p>
    <w:p w14:paraId="543DADD3" w14:textId="53FC4D86" w:rsidR="002D4CE6" w:rsidRDefault="002D4CE6">
      <w:pPr>
        <w:pStyle w:val="BodyText"/>
        <w:numPr>
          <w:ilvl w:val="0"/>
          <w:numId w:val="2"/>
        </w:numPr>
      </w:pPr>
      <w:r>
        <w:t>Upcoming Workshop post mortem</w:t>
      </w:r>
    </w:p>
    <w:p w14:paraId="2EE7EE23" w14:textId="77777777" w:rsidR="00494064" w:rsidRDefault="00494064" w:rsidP="00494064">
      <w:pPr>
        <w:pStyle w:val="BodyText"/>
      </w:pPr>
    </w:p>
    <w:p w14:paraId="770DC33A" w14:textId="062884D5" w:rsidR="00227387" w:rsidRDefault="00474DA8" w:rsidP="00227387">
      <w:pPr>
        <w:pStyle w:val="BodyText"/>
        <w:numPr>
          <w:ilvl w:val="0"/>
          <w:numId w:val="6"/>
        </w:numPr>
      </w:pPr>
      <w:r>
        <w:t>We will be looking at the financial results</w:t>
      </w:r>
    </w:p>
    <w:p w14:paraId="63170BB2" w14:textId="2268DBAF" w:rsidR="00474DA8" w:rsidRDefault="00474DA8" w:rsidP="00227387">
      <w:pPr>
        <w:pStyle w:val="BodyText"/>
        <w:numPr>
          <w:ilvl w:val="0"/>
          <w:numId w:val="6"/>
        </w:numPr>
      </w:pPr>
      <w:r>
        <w:t>We will be looking at the success of putting in the amount of programming in a short 3 day format.</w:t>
      </w:r>
    </w:p>
    <w:p w14:paraId="66077FCE" w14:textId="77777777" w:rsidR="00227387" w:rsidRDefault="00227387" w:rsidP="00494064">
      <w:pPr>
        <w:pStyle w:val="BodyText"/>
      </w:pPr>
    </w:p>
    <w:p w14:paraId="1136F16A" w14:textId="6FEB7695" w:rsidR="002D4CE6" w:rsidRDefault="002D4CE6">
      <w:pPr>
        <w:pStyle w:val="BodyText"/>
        <w:numPr>
          <w:ilvl w:val="0"/>
          <w:numId w:val="2"/>
        </w:numPr>
      </w:pPr>
      <w:r>
        <w:t>DMTF Redfish</w:t>
      </w:r>
    </w:p>
    <w:p w14:paraId="3E7CAD22" w14:textId="77777777" w:rsidR="00494064" w:rsidRDefault="00494064" w:rsidP="00494064">
      <w:pPr>
        <w:pStyle w:val="BodyText"/>
      </w:pPr>
    </w:p>
    <w:p w14:paraId="37DD6313" w14:textId="0AF0B314" w:rsidR="009F4AB1" w:rsidRDefault="009F4AB1" w:rsidP="009F4AB1">
      <w:pPr>
        <w:pStyle w:val="BodyText"/>
        <w:numPr>
          <w:ilvl w:val="0"/>
          <w:numId w:val="6"/>
        </w:numPr>
      </w:pPr>
      <w:r w:rsidRPr="009F4AB1">
        <w:t>OFIWG was identified as the most likely forum for a discussion among interested network developers concerning the applicability of the proposed Redfish management framework.  This discussion would take the form of a special OFIWG meeting devoted to this purpose.</w:t>
      </w:r>
      <w:bookmarkStart w:id="0" w:name="_GoBack"/>
      <w:bookmarkEnd w:id="0"/>
    </w:p>
    <w:p w14:paraId="12A77D40" w14:textId="12613FE8" w:rsidR="00494064" w:rsidRDefault="00474DA8" w:rsidP="00227387">
      <w:pPr>
        <w:pStyle w:val="BodyText"/>
        <w:numPr>
          <w:ilvl w:val="0"/>
          <w:numId w:val="6"/>
        </w:numPr>
      </w:pPr>
      <w:r>
        <w:t>Is Redfish abstract enoug</w:t>
      </w:r>
      <w:r w:rsidR="009F4AB1">
        <w:t>h to put into various networks?</w:t>
      </w:r>
    </w:p>
    <w:p w14:paraId="2BC07E60" w14:textId="12BCEC63" w:rsidR="00474DA8" w:rsidRDefault="00474DA8" w:rsidP="00227387">
      <w:pPr>
        <w:pStyle w:val="BodyText"/>
        <w:numPr>
          <w:ilvl w:val="0"/>
          <w:numId w:val="6"/>
        </w:numPr>
      </w:pPr>
      <w:r>
        <w:t>OFIWG for fabric agnostic capabilities.</w:t>
      </w:r>
    </w:p>
    <w:p w14:paraId="500AC39F" w14:textId="77777777" w:rsidR="00494064" w:rsidRDefault="00494064" w:rsidP="00494064">
      <w:pPr>
        <w:pStyle w:val="BodyText"/>
      </w:pPr>
    </w:p>
    <w:p w14:paraId="37E1D8CA" w14:textId="77777777" w:rsidR="00384016" w:rsidRPr="002D4CE6" w:rsidRDefault="00FD69D8">
      <w:pPr>
        <w:pStyle w:val="BodyText"/>
        <w:numPr>
          <w:ilvl w:val="0"/>
          <w:numId w:val="2"/>
        </w:numPr>
        <w:rPr>
          <w:strike/>
        </w:rPr>
      </w:pPr>
      <w:r w:rsidRPr="002D4CE6">
        <w:rPr>
          <w:strike/>
        </w:rPr>
        <w:t>Working Group Reports</w:t>
      </w:r>
    </w:p>
    <w:p w14:paraId="6E469293" w14:textId="316A734D" w:rsidR="00384016" w:rsidRPr="002D4CE6" w:rsidRDefault="00D84A03">
      <w:pPr>
        <w:pStyle w:val="BodyText"/>
        <w:numPr>
          <w:ilvl w:val="1"/>
          <w:numId w:val="2"/>
        </w:numPr>
        <w:rPr>
          <w:strike/>
        </w:rPr>
      </w:pPr>
      <w:r w:rsidRPr="002D4CE6">
        <w:rPr>
          <w:strike/>
        </w:rPr>
        <w:t>EWG</w:t>
      </w:r>
    </w:p>
    <w:p w14:paraId="2471FF66" w14:textId="77777777" w:rsidR="00384016" w:rsidRPr="002D4CE6" w:rsidRDefault="00FD69D8">
      <w:pPr>
        <w:pStyle w:val="BodyText"/>
        <w:numPr>
          <w:ilvl w:val="1"/>
          <w:numId w:val="2"/>
        </w:numPr>
        <w:rPr>
          <w:strike/>
        </w:rPr>
      </w:pPr>
      <w:r w:rsidRPr="002D4CE6">
        <w:rPr>
          <w:strike/>
        </w:rPr>
        <w:t>OFIWG</w:t>
      </w:r>
    </w:p>
    <w:p w14:paraId="27324B25" w14:textId="77777777" w:rsidR="00384016" w:rsidRPr="002D4CE6" w:rsidRDefault="00FD69D8">
      <w:pPr>
        <w:pStyle w:val="BodyText"/>
        <w:numPr>
          <w:ilvl w:val="1"/>
          <w:numId w:val="2"/>
        </w:numPr>
        <w:rPr>
          <w:strike/>
        </w:rPr>
      </w:pPr>
      <w:r w:rsidRPr="002D4CE6">
        <w:rPr>
          <w:strike/>
        </w:rPr>
        <w:t xml:space="preserve">MWG </w:t>
      </w:r>
    </w:p>
    <w:p w14:paraId="4F798A5B" w14:textId="77777777" w:rsidR="00384016" w:rsidRPr="002D4CE6" w:rsidRDefault="00FD69D8">
      <w:pPr>
        <w:pStyle w:val="BodyText"/>
        <w:numPr>
          <w:ilvl w:val="1"/>
          <w:numId w:val="2"/>
        </w:numPr>
        <w:rPr>
          <w:strike/>
        </w:rPr>
      </w:pPr>
      <w:r w:rsidRPr="002D4CE6">
        <w:rPr>
          <w:strike/>
        </w:rPr>
        <w:t xml:space="preserve">IWG </w:t>
      </w:r>
    </w:p>
    <w:p w14:paraId="04BD9C94" w14:textId="77777777" w:rsidR="008560DC" w:rsidRPr="002D4CE6" w:rsidRDefault="00FD69D8" w:rsidP="008560DC">
      <w:pPr>
        <w:pStyle w:val="BodyText"/>
        <w:numPr>
          <w:ilvl w:val="0"/>
          <w:numId w:val="2"/>
        </w:numPr>
        <w:rPr>
          <w:strike/>
        </w:rPr>
      </w:pPr>
      <w:r w:rsidRPr="002D4CE6">
        <w:rPr>
          <w:strike/>
        </w:rPr>
        <w:t>Treasurers Report</w:t>
      </w:r>
    </w:p>
    <w:p w14:paraId="7D0C50F9" w14:textId="77777777" w:rsidR="00D84A03" w:rsidRDefault="00D84A03" w:rsidP="00D84A03">
      <w:pPr>
        <w:pStyle w:val="NormalWeb"/>
        <w:rPr>
          <w:rFonts w:ascii="Arial" w:hAnsi="Arial" w:cs="Arial"/>
          <w:color w:val="222222"/>
          <w:sz w:val="20"/>
          <w:szCs w:val="20"/>
        </w:rPr>
      </w:pPr>
    </w:p>
    <w:p w14:paraId="4FAB3C98" w14:textId="77777777" w:rsidR="00D84A03" w:rsidRDefault="00D84A03" w:rsidP="00D84A03">
      <w:pPr>
        <w:pStyle w:val="NormalWeb"/>
      </w:pPr>
    </w:p>
    <w:sectPr w:rsidR="00D84A03">
      <w:footerReference w:type="default" r:id="rId7"/>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064AA" w14:textId="77777777" w:rsidR="00D73E70" w:rsidRDefault="00D73E70">
      <w:r>
        <w:separator/>
      </w:r>
    </w:p>
  </w:endnote>
  <w:endnote w:type="continuationSeparator" w:id="0">
    <w:p w14:paraId="670528D8" w14:textId="77777777" w:rsidR="00D73E70" w:rsidRDefault="00D73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Liberation Sans">
    <w:altName w:val="Arial"/>
    <w:charset w:val="00"/>
    <w:family w:val="swiss"/>
    <w:pitch w:val="variable"/>
  </w:font>
  <w:font w:name="Source Han Sans CN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Segoe UI">
    <w:altName w:val="Calibri"/>
    <w:charset w:val="00"/>
    <w:family w:val="swiss"/>
    <w:pitch w:val="variable"/>
    <w:sig w:usb0="E10022FF" w:usb1="C000E47F" w:usb2="00000029" w:usb3="00000000" w:csb0="000001D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9F4AB1">
                            <w:rPr>
                              <w:rStyle w:val="PageNumber"/>
                              <w:noProof/>
                            </w:rPr>
                            <w:t>4</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9F4AB1">
                      <w:rPr>
                        <w:rStyle w:val="PageNumber"/>
                        <w:noProof/>
                      </w:rPr>
                      <w:t>4</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0EB5E" w14:textId="77777777" w:rsidR="00D73E70" w:rsidRDefault="00D73E70">
      <w:r>
        <w:separator/>
      </w:r>
    </w:p>
  </w:footnote>
  <w:footnote w:type="continuationSeparator" w:id="0">
    <w:p w14:paraId="5D2A6986" w14:textId="77777777" w:rsidR="00D73E70" w:rsidRDefault="00D73E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16C15"/>
    <w:multiLevelType w:val="multilevel"/>
    <w:tmpl w:val="68A2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53E3B80"/>
    <w:multiLevelType w:val="hybridMultilevel"/>
    <w:tmpl w:val="70B09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724D34"/>
    <w:multiLevelType w:val="multilevel"/>
    <w:tmpl w:val="214CD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134215"/>
    <w:multiLevelType w:val="hybridMultilevel"/>
    <w:tmpl w:val="406C0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6E512BC"/>
    <w:multiLevelType w:val="hybridMultilevel"/>
    <w:tmpl w:val="7FE2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8191249"/>
    <w:multiLevelType w:val="hybridMultilevel"/>
    <w:tmpl w:val="F47CD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D5A000B"/>
    <w:multiLevelType w:val="multilevel"/>
    <w:tmpl w:val="B70E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036344"/>
    <w:multiLevelType w:val="hybridMultilevel"/>
    <w:tmpl w:val="E81E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427F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7"/>
  </w:num>
  <w:num w:numId="4">
    <w:abstractNumId w:val="0"/>
  </w:num>
  <w:num w:numId="5">
    <w:abstractNumId w:val="3"/>
  </w:num>
  <w:num w:numId="6">
    <w:abstractNumId w:val="2"/>
  </w:num>
  <w:num w:numId="7">
    <w:abstractNumId w:val="6"/>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016"/>
    <w:rsid w:val="00074307"/>
    <w:rsid w:val="000D5098"/>
    <w:rsid w:val="00123C09"/>
    <w:rsid w:val="002067E0"/>
    <w:rsid w:val="00214AA6"/>
    <w:rsid w:val="00227387"/>
    <w:rsid w:val="0026685A"/>
    <w:rsid w:val="002D4CE6"/>
    <w:rsid w:val="002F63E0"/>
    <w:rsid w:val="003231E8"/>
    <w:rsid w:val="0035070C"/>
    <w:rsid w:val="00384016"/>
    <w:rsid w:val="003D6625"/>
    <w:rsid w:val="0041379E"/>
    <w:rsid w:val="00474DA8"/>
    <w:rsid w:val="00494064"/>
    <w:rsid w:val="004A1B38"/>
    <w:rsid w:val="004D5314"/>
    <w:rsid w:val="00560CBB"/>
    <w:rsid w:val="005851FB"/>
    <w:rsid w:val="00586B24"/>
    <w:rsid w:val="00592C7B"/>
    <w:rsid w:val="006074B3"/>
    <w:rsid w:val="00632216"/>
    <w:rsid w:val="006973E6"/>
    <w:rsid w:val="006D00DC"/>
    <w:rsid w:val="00714A9B"/>
    <w:rsid w:val="007A3A8F"/>
    <w:rsid w:val="008560DC"/>
    <w:rsid w:val="00860DD6"/>
    <w:rsid w:val="008A4100"/>
    <w:rsid w:val="008F4A30"/>
    <w:rsid w:val="009420DC"/>
    <w:rsid w:val="009F4AB1"/>
    <w:rsid w:val="00A4168B"/>
    <w:rsid w:val="00A470C1"/>
    <w:rsid w:val="00AA6BFA"/>
    <w:rsid w:val="00B03725"/>
    <w:rsid w:val="00B200CD"/>
    <w:rsid w:val="00B21D28"/>
    <w:rsid w:val="00B2438B"/>
    <w:rsid w:val="00B70E8C"/>
    <w:rsid w:val="00BD561D"/>
    <w:rsid w:val="00BE3B29"/>
    <w:rsid w:val="00C12A6A"/>
    <w:rsid w:val="00C2555C"/>
    <w:rsid w:val="00C336BE"/>
    <w:rsid w:val="00CA3D3B"/>
    <w:rsid w:val="00D716BE"/>
    <w:rsid w:val="00D73E70"/>
    <w:rsid w:val="00D84A03"/>
    <w:rsid w:val="00DB360A"/>
    <w:rsid w:val="00E31CDC"/>
    <w:rsid w:val="00E72323"/>
    <w:rsid w:val="00E77FA4"/>
    <w:rsid w:val="00EA2D30"/>
    <w:rsid w:val="00EC2071"/>
    <w:rsid w:val="00EF1A55"/>
    <w:rsid w:val="00F0067B"/>
    <w:rsid w:val="00F736D8"/>
    <w:rsid w:val="00F97919"/>
    <w:rsid w:val="00FD69D8"/>
    <w:rsid w:val="00FE2D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semiHidden/>
    <w:unhideWhenUsed/>
    <w:rsid w:val="00DB360A"/>
    <w:rPr>
      <w:color w:val="0000FF"/>
      <w:u w:val="single"/>
    </w:rPr>
  </w:style>
  <w:style w:type="paragraph" w:styleId="NormalWeb">
    <w:name w:val="Normal (Web)"/>
    <w:basedOn w:val="Normal"/>
    <w:uiPriority w:val="99"/>
    <w:unhideWhenUsed/>
    <w:rsid w:val="00DB360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74816">
      <w:bodyDiv w:val="1"/>
      <w:marLeft w:val="0"/>
      <w:marRight w:val="0"/>
      <w:marTop w:val="0"/>
      <w:marBottom w:val="0"/>
      <w:divBdr>
        <w:top w:val="none" w:sz="0" w:space="0" w:color="auto"/>
        <w:left w:val="none" w:sz="0" w:space="0" w:color="auto"/>
        <w:bottom w:val="none" w:sz="0" w:space="0" w:color="auto"/>
        <w:right w:val="none" w:sz="0" w:space="0" w:color="auto"/>
      </w:divBdr>
    </w:div>
    <w:div w:id="775442342">
      <w:bodyDiv w:val="1"/>
      <w:marLeft w:val="0"/>
      <w:marRight w:val="0"/>
      <w:marTop w:val="0"/>
      <w:marBottom w:val="0"/>
      <w:divBdr>
        <w:top w:val="none" w:sz="0" w:space="0" w:color="auto"/>
        <w:left w:val="none" w:sz="0" w:space="0" w:color="auto"/>
        <w:bottom w:val="none" w:sz="0" w:space="0" w:color="auto"/>
        <w:right w:val="none" w:sz="0" w:space="0" w:color="auto"/>
      </w:divBdr>
    </w:div>
    <w:div w:id="811799693">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1048990620">
      <w:bodyDiv w:val="1"/>
      <w:marLeft w:val="0"/>
      <w:marRight w:val="0"/>
      <w:marTop w:val="0"/>
      <w:marBottom w:val="0"/>
      <w:divBdr>
        <w:top w:val="none" w:sz="0" w:space="0" w:color="auto"/>
        <w:left w:val="none" w:sz="0" w:space="0" w:color="auto"/>
        <w:bottom w:val="none" w:sz="0" w:space="0" w:color="auto"/>
        <w:right w:val="none" w:sz="0" w:space="0" w:color="auto"/>
      </w:divBdr>
    </w:div>
    <w:div w:id="1353609299">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07618681">
      <w:bodyDiv w:val="1"/>
      <w:marLeft w:val="0"/>
      <w:marRight w:val="0"/>
      <w:marTop w:val="0"/>
      <w:marBottom w:val="0"/>
      <w:divBdr>
        <w:top w:val="none" w:sz="0" w:space="0" w:color="auto"/>
        <w:left w:val="none" w:sz="0" w:space="0" w:color="auto"/>
        <w:bottom w:val="none" w:sz="0" w:space="0" w:color="auto"/>
        <w:right w:val="none" w:sz="0" w:space="0" w:color="auto"/>
      </w:divBdr>
    </w:div>
    <w:div w:id="182303768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1092</Words>
  <Characters>6226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22</cp:revision>
  <cp:lastPrinted>2017-04-19T19:22:00Z</cp:lastPrinted>
  <dcterms:created xsi:type="dcterms:W3CDTF">2019-03-28T16:22:00Z</dcterms:created>
  <dcterms:modified xsi:type="dcterms:W3CDTF">2019-04-16T18:56:00Z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